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EB60" w14:textId="40E1A501" w:rsidR="0029584E" w:rsidRPr="00E54A27" w:rsidRDefault="0045343B" w:rsidP="000D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A27">
        <w:rPr>
          <w:rFonts w:ascii="Times New Roman" w:hAnsi="Times New Roman" w:cs="Times New Roman"/>
          <w:b/>
          <w:bCs/>
          <w:sz w:val="24"/>
          <w:szCs w:val="24"/>
        </w:rPr>
        <w:t>ŠIAULIŲ RAJONO TURIZMO IR VERSLO INFORMACIJOS CENTRO 2024 M. I KETV. LANKYTOJŲ STATISTIKA</w:t>
      </w:r>
    </w:p>
    <w:p w14:paraId="022DF26D" w14:textId="77777777" w:rsidR="00872E79" w:rsidRPr="00E54A27" w:rsidRDefault="00872E79" w:rsidP="00E54A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5F9A9" w14:textId="77777777" w:rsidR="00C834A6" w:rsidRPr="00E54A27" w:rsidRDefault="009670A6" w:rsidP="00E54A27">
      <w:pPr>
        <w:jc w:val="both"/>
        <w:rPr>
          <w:rFonts w:ascii="Times New Roman" w:hAnsi="Times New Roman" w:cs="Times New Roman"/>
          <w:sz w:val="24"/>
          <w:szCs w:val="24"/>
        </w:rPr>
      </w:pPr>
      <w:r w:rsidRPr="00E54A27">
        <w:rPr>
          <w:rFonts w:ascii="Times New Roman" w:hAnsi="Times New Roman" w:cs="Times New Roman"/>
          <w:sz w:val="24"/>
          <w:szCs w:val="24"/>
        </w:rPr>
        <w:t>Per pirmąjį 202</w:t>
      </w:r>
      <w:r w:rsidR="00F021F3" w:rsidRPr="00E54A27">
        <w:rPr>
          <w:rFonts w:ascii="Times New Roman" w:hAnsi="Times New Roman" w:cs="Times New Roman"/>
          <w:sz w:val="24"/>
          <w:szCs w:val="24"/>
        </w:rPr>
        <w:t>4</w:t>
      </w:r>
      <w:r w:rsidRPr="00E54A27">
        <w:rPr>
          <w:rFonts w:ascii="Times New Roman" w:hAnsi="Times New Roman" w:cs="Times New Roman"/>
          <w:sz w:val="24"/>
          <w:szCs w:val="24"/>
        </w:rPr>
        <w:t xml:space="preserve"> m. ketvirtį Šiaulių rajono turizmo ir verslo informacijos centre (šalia Kryžių kalno) apsilankė </w:t>
      </w:r>
      <w:r w:rsidR="00F021F3" w:rsidRPr="00E54A27">
        <w:rPr>
          <w:rFonts w:ascii="Times New Roman" w:hAnsi="Times New Roman" w:cs="Times New Roman"/>
          <w:sz w:val="24"/>
          <w:szCs w:val="24"/>
        </w:rPr>
        <w:t>15</w:t>
      </w:r>
      <w:r w:rsidR="00C834A6" w:rsidRPr="00E54A27">
        <w:rPr>
          <w:rFonts w:ascii="Times New Roman" w:hAnsi="Times New Roman" w:cs="Times New Roman"/>
          <w:sz w:val="24"/>
          <w:szCs w:val="24"/>
        </w:rPr>
        <w:t xml:space="preserve"> </w:t>
      </w:r>
      <w:r w:rsidR="00F021F3" w:rsidRPr="00E54A27">
        <w:rPr>
          <w:rFonts w:ascii="Times New Roman" w:hAnsi="Times New Roman" w:cs="Times New Roman"/>
          <w:sz w:val="24"/>
          <w:szCs w:val="24"/>
        </w:rPr>
        <w:t>068</w:t>
      </w:r>
      <w:r w:rsidRPr="00E54A27">
        <w:rPr>
          <w:rFonts w:ascii="Times New Roman" w:hAnsi="Times New Roman" w:cs="Times New Roman"/>
          <w:sz w:val="24"/>
          <w:szCs w:val="24"/>
        </w:rPr>
        <w:t xml:space="preserve"> lankytojai. Lyginant su 202</w:t>
      </w:r>
      <w:r w:rsidR="008674A8" w:rsidRPr="00E54A27">
        <w:rPr>
          <w:rFonts w:ascii="Times New Roman" w:hAnsi="Times New Roman" w:cs="Times New Roman"/>
          <w:sz w:val="24"/>
          <w:szCs w:val="24"/>
        </w:rPr>
        <w:t>3</w:t>
      </w:r>
      <w:r w:rsidRPr="00E54A27">
        <w:rPr>
          <w:rFonts w:ascii="Times New Roman" w:hAnsi="Times New Roman" w:cs="Times New Roman"/>
          <w:sz w:val="24"/>
          <w:szCs w:val="24"/>
        </w:rPr>
        <w:t xml:space="preserve"> metų pirmuoju ketvirčiu</w:t>
      </w:r>
      <w:r w:rsidR="008674A8" w:rsidRPr="00E54A27">
        <w:rPr>
          <w:rFonts w:ascii="Times New Roman" w:hAnsi="Times New Roman" w:cs="Times New Roman"/>
          <w:sz w:val="24"/>
          <w:szCs w:val="24"/>
        </w:rPr>
        <w:t>,</w:t>
      </w:r>
      <w:r w:rsidRPr="00E54A27">
        <w:rPr>
          <w:rFonts w:ascii="Times New Roman" w:hAnsi="Times New Roman" w:cs="Times New Roman"/>
          <w:sz w:val="24"/>
          <w:szCs w:val="24"/>
        </w:rPr>
        <w:t xml:space="preserve"> lankytojų skaičius padidėjo</w:t>
      </w:r>
      <w:r w:rsidR="008674A8" w:rsidRPr="00E54A27">
        <w:rPr>
          <w:rFonts w:ascii="Times New Roman" w:hAnsi="Times New Roman" w:cs="Times New Roman"/>
          <w:sz w:val="24"/>
          <w:szCs w:val="24"/>
        </w:rPr>
        <w:t xml:space="preserve"> beveik</w:t>
      </w:r>
      <w:r w:rsidRPr="00E54A27">
        <w:rPr>
          <w:rFonts w:ascii="Times New Roman" w:hAnsi="Times New Roman" w:cs="Times New Roman"/>
          <w:sz w:val="24"/>
          <w:szCs w:val="24"/>
        </w:rPr>
        <w:t xml:space="preserve"> </w:t>
      </w:r>
      <w:r w:rsidR="008674A8" w:rsidRPr="00E54A27">
        <w:rPr>
          <w:rFonts w:ascii="Times New Roman" w:hAnsi="Times New Roman" w:cs="Times New Roman"/>
          <w:sz w:val="24"/>
          <w:szCs w:val="24"/>
        </w:rPr>
        <w:t>trigubai, 279,6</w:t>
      </w:r>
      <w:r w:rsidR="008674A8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%. </w:t>
      </w:r>
      <w:r w:rsidRPr="00E54A27">
        <w:rPr>
          <w:rFonts w:ascii="Times New Roman" w:hAnsi="Times New Roman" w:cs="Times New Roman"/>
          <w:sz w:val="24"/>
          <w:szCs w:val="24"/>
        </w:rPr>
        <w:t xml:space="preserve"> Per 202</w:t>
      </w:r>
      <w:r w:rsidR="008674A8" w:rsidRPr="00E54A27">
        <w:rPr>
          <w:rFonts w:ascii="Times New Roman" w:hAnsi="Times New Roman" w:cs="Times New Roman"/>
          <w:sz w:val="24"/>
          <w:szCs w:val="24"/>
        </w:rPr>
        <w:t>3</w:t>
      </w:r>
      <w:r w:rsidRPr="00E54A27">
        <w:rPr>
          <w:rFonts w:ascii="Times New Roman" w:hAnsi="Times New Roman" w:cs="Times New Roman"/>
          <w:sz w:val="24"/>
          <w:szCs w:val="24"/>
        </w:rPr>
        <w:t xml:space="preserve"> m. sausio-kovo mėn. centre apsilankė </w:t>
      </w:r>
      <w:r w:rsidR="008674A8" w:rsidRPr="00E54A27">
        <w:rPr>
          <w:rFonts w:ascii="Times New Roman" w:hAnsi="Times New Roman" w:cs="Times New Roman"/>
          <w:sz w:val="24"/>
          <w:szCs w:val="24"/>
        </w:rPr>
        <w:t>3963</w:t>
      </w:r>
      <w:r w:rsidRPr="00E54A27">
        <w:rPr>
          <w:rFonts w:ascii="Times New Roman" w:hAnsi="Times New Roman" w:cs="Times New Roman"/>
          <w:sz w:val="24"/>
          <w:szCs w:val="24"/>
        </w:rPr>
        <w:t xml:space="preserve"> lankytojai.</w:t>
      </w:r>
      <w:r w:rsidR="008674A8" w:rsidRPr="00E54A27">
        <w:rPr>
          <w:rFonts w:ascii="Times New Roman" w:hAnsi="Times New Roman" w:cs="Times New Roman"/>
          <w:sz w:val="24"/>
          <w:szCs w:val="24"/>
        </w:rPr>
        <w:t xml:space="preserve"> </w:t>
      </w:r>
      <w:r w:rsidR="009B4608" w:rsidRPr="00E54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70AE1" w14:textId="4ADAB6AE" w:rsidR="009B4608" w:rsidRPr="00E54A27" w:rsidRDefault="00C834A6" w:rsidP="00E54A27">
      <w:pPr>
        <w:jc w:val="both"/>
        <w:rPr>
          <w:rFonts w:ascii="Times New Roman" w:hAnsi="Times New Roman" w:cs="Times New Roman"/>
          <w:sz w:val="24"/>
          <w:szCs w:val="24"/>
        </w:rPr>
      </w:pPr>
      <w:r w:rsidRPr="00E54A27">
        <w:rPr>
          <w:rFonts w:ascii="Times New Roman" w:hAnsi="Times New Roman" w:cs="Times New Roman"/>
          <w:sz w:val="24"/>
          <w:szCs w:val="24"/>
        </w:rPr>
        <w:t>Diagramos</w:t>
      </w:r>
      <w:r w:rsidR="009B4608" w:rsidRPr="00E54A27">
        <w:rPr>
          <w:rFonts w:ascii="Times New Roman" w:hAnsi="Times New Roman" w:cs="Times New Roman"/>
          <w:sz w:val="24"/>
          <w:szCs w:val="24"/>
        </w:rPr>
        <w:t xml:space="preserve"> nr.1 </w:t>
      </w:r>
      <w:r w:rsidRPr="00E54A27">
        <w:rPr>
          <w:rFonts w:ascii="Times New Roman" w:hAnsi="Times New Roman" w:cs="Times New Roman"/>
          <w:sz w:val="24"/>
          <w:szCs w:val="24"/>
        </w:rPr>
        <w:t xml:space="preserve">duomenimis </w:t>
      </w:r>
      <w:r w:rsidR="009B4608" w:rsidRPr="00E54A27">
        <w:rPr>
          <w:rFonts w:ascii="Times New Roman" w:hAnsi="Times New Roman" w:cs="Times New Roman"/>
          <w:sz w:val="24"/>
          <w:szCs w:val="24"/>
        </w:rPr>
        <w:t xml:space="preserve">galima pastebėti, kad 2024 metų pirmą ketvirtį didžioji dalis klientų Šiaulių rajono turizmo ir verslo informacijos centre buvo iš užsienio valstybių. Lyginant su praeitų metų, 2023 pirmuoju ketvirčiu, </w:t>
      </w:r>
      <w:r w:rsidRPr="00E54A27">
        <w:rPr>
          <w:rFonts w:ascii="Times New Roman" w:hAnsi="Times New Roman" w:cs="Times New Roman"/>
          <w:sz w:val="24"/>
          <w:szCs w:val="24"/>
        </w:rPr>
        <w:t>duomenys buvo panašūs</w:t>
      </w:r>
      <w:r w:rsidR="009B4608" w:rsidRPr="00E54A27">
        <w:rPr>
          <w:rFonts w:ascii="Times New Roman" w:hAnsi="Times New Roman" w:cs="Times New Roman"/>
          <w:sz w:val="24"/>
          <w:szCs w:val="24"/>
        </w:rPr>
        <w:t xml:space="preserve">, didesnė dalis lankytojų buvo iš užsienio valstybių, tačiau 2024 metais </w:t>
      </w:r>
      <w:r w:rsidRPr="00E54A27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E54A27">
        <w:rPr>
          <w:rFonts w:ascii="Times New Roman" w:hAnsi="Times New Roman" w:cs="Times New Roman"/>
          <w:sz w:val="24"/>
          <w:szCs w:val="24"/>
        </w:rPr>
        <w:t>ąjį</w:t>
      </w:r>
      <w:proofErr w:type="spellEnd"/>
      <w:r w:rsidRPr="00E54A27">
        <w:rPr>
          <w:rFonts w:ascii="Times New Roman" w:hAnsi="Times New Roman" w:cs="Times New Roman"/>
          <w:sz w:val="24"/>
          <w:szCs w:val="24"/>
        </w:rPr>
        <w:t xml:space="preserve"> ketvirtį </w:t>
      </w:r>
      <w:r w:rsidR="009B4608" w:rsidRPr="00E54A27">
        <w:rPr>
          <w:rFonts w:ascii="Times New Roman" w:hAnsi="Times New Roman" w:cs="Times New Roman"/>
          <w:sz w:val="24"/>
          <w:szCs w:val="24"/>
        </w:rPr>
        <w:t>lankytojų skaičius yra ženkliai didesnis.</w:t>
      </w:r>
    </w:p>
    <w:p w14:paraId="0C18D65D" w14:textId="03C93723" w:rsidR="0029584E" w:rsidRPr="00E54A27" w:rsidRDefault="00D22D93" w:rsidP="00E54A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A27">
        <w:rPr>
          <w:rFonts w:ascii="Times New Roman" w:hAnsi="Times New Roman" w:cs="Times New Roman"/>
          <w:b/>
          <w:bCs/>
          <w:sz w:val="24"/>
          <w:szCs w:val="24"/>
        </w:rPr>
        <w:t>Diagrama</w:t>
      </w:r>
      <w:r w:rsidR="009B4608" w:rsidRPr="00E54A27">
        <w:rPr>
          <w:rFonts w:ascii="Times New Roman" w:hAnsi="Times New Roman" w:cs="Times New Roman"/>
          <w:b/>
          <w:bCs/>
          <w:sz w:val="24"/>
          <w:szCs w:val="24"/>
        </w:rPr>
        <w:t xml:space="preserve"> nr.1</w:t>
      </w:r>
    </w:p>
    <w:p w14:paraId="033D6B0B" w14:textId="78136738" w:rsidR="00755488" w:rsidRPr="00E54A27" w:rsidRDefault="00622D54" w:rsidP="00E54A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A78C82D" wp14:editId="0B0B315A">
                <wp:simplePos x="0" y="0"/>
                <wp:positionH relativeFrom="column">
                  <wp:posOffset>-2579805</wp:posOffset>
                </wp:positionH>
                <wp:positionV relativeFrom="paragraph">
                  <wp:posOffset>1490730</wp:posOffset>
                </wp:positionV>
                <wp:extent cx="2520" cy="2520"/>
                <wp:effectExtent l="38100" t="38100" r="36195" b="55245"/>
                <wp:wrapNone/>
                <wp:docPr id="702272245" name="Rankrašt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20" cy="2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A78C82D" wp14:editId="0B0B315A">
                <wp:simplePos x="0" y="0"/>
                <wp:positionH relativeFrom="column">
                  <wp:posOffset>-2579805</wp:posOffset>
                </wp:positionH>
                <wp:positionV relativeFrom="paragraph">
                  <wp:posOffset>1490730</wp:posOffset>
                </wp:positionV>
                <wp:extent cx="2520" cy="2520"/>
                <wp:effectExtent l="38100" t="38100" r="36195" b="55245"/>
                <wp:wrapNone/>
                <wp:docPr id="702272245" name="Rankraštį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272245" name="Rankraštį 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" cy="5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5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BD7DACB" wp14:editId="77B3EE91">
                <wp:simplePos x="0" y="0"/>
                <wp:positionH relativeFrom="column">
                  <wp:posOffset>-832725</wp:posOffset>
                </wp:positionH>
                <wp:positionV relativeFrom="paragraph">
                  <wp:posOffset>1651290</wp:posOffset>
                </wp:positionV>
                <wp:extent cx="360" cy="360"/>
                <wp:effectExtent l="0" t="0" r="0" b="0"/>
                <wp:wrapNone/>
                <wp:docPr id="1246749799" name="Rankrašt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BD7DACB" wp14:editId="77B3EE91">
                <wp:simplePos x="0" y="0"/>
                <wp:positionH relativeFrom="column">
                  <wp:posOffset>-832725</wp:posOffset>
                </wp:positionH>
                <wp:positionV relativeFrom="paragraph">
                  <wp:posOffset>1651290</wp:posOffset>
                </wp:positionV>
                <wp:extent cx="360" cy="360"/>
                <wp:effectExtent l="0" t="0" r="0" b="0"/>
                <wp:wrapNone/>
                <wp:docPr id="1246749799" name="Rankraštį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749799" name="Rankraštį 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9584E" w:rsidRPr="00E54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BD14D5" wp14:editId="583B2D7A">
            <wp:extent cx="5753100" cy="2591435"/>
            <wp:effectExtent l="0" t="0" r="0" b="18415"/>
            <wp:docPr id="1457644984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45CF0586-AC05-95F4-368B-8A74780902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E8EAA3" w14:textId="2CD14195" w:rsidR="009B4608" w:rsidRPr="00E54A27" w:rsidRDefault="00856F50" w:rsidP="00E54A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Lentelė</w:t>
      </w:r>
      <w:proofErr w:type="spellEnd"/>
      <w:r w:rsidR="009B4608"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nr. 2</w:t>
      </w:r>
    </w:p>
    <w:p w14:paraId="45E36CBD" w14:textId="79682D7B" w:rsidR="00755488" w:rsidRPr="00E54A27" w:rsidRDefault="00622D54" w:rsidP="00E54A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4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4E88CD" wp14:editId="714C8A84">
            <wp:extent cx="5774400" cy="2440305"/>
            <wp:effectExtent l="0" t="0" r="17145" b="17145"/>
            <wp:docPr id="780519259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09845E1E-A9E6-1D03-5941-9E8DF98F72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54A2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62BA017" w14:textId="3F29AA37" w:rsidR="00755488" w:rsidRPr="00E54A27" w:rsidRDefault="00856F50" w:rsidP="00E54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Lentelės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nr.2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duomenimis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neįskaitant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Lietuvos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valstybės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pagal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geografinę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padėtį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didžiausia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užsienio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klientų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dalis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atvyko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iš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vidurio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rytų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Europos, 2175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klientai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iš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jų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daugiausiai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iš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Latvijos</w:t>
      </w:r>
      <w:proofErr w:type="spellEnd"/>
      <w:r w:rsidR="00C834A6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– 1005 </w:t>
      </w:r>
      <w:proofErr w:type="spellStart"/>
      <w:r w:rsidR="00C834A6" w:rsidRPr="00E54A27">
        <w:rPr>
          <w:rFonts w:ascii="Times New Roman" w:hAnsi="Times New Roman" w:cs="Times New Roman"/>
          <w:sz w:val="24"/>
          <w:szCs w:val="24"/>
          <w:lang w:val="en-US"/>
        </w:rPr>
        <w:lastRenderedPageBreak/>
        <w:t>turistai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lentelė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nr. 3)</w:t>
      </w:r>
      <w:r w:rsidR="00C834A6" w:rsidRPr="00E54A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taip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pat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labai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daug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34A6" w:rsidRPr="00E54A27">
        <w:rPr>
          <w:rFonts w:ascii="Times New Roman" w:hAnsi="Times New Roman" w:cs="Times New Roman"/>
          <w:sz w:val="24"/>
          <w:szCs w:val="24"/>
          <w:lang w:val="en-US"/>
        </w:rPr>
        <w:t>lankytojų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r w:rsidRPr="00E54A27">
        <w:rPr>
          <w:rFonts w:ascii="Times New Roman" w:hAnsi="Times New Roman" w:cs="Times New Roman"/>
          <w:sz w:val="24"/>
          <w:szCs w:val="24"/>
        </w:rPr>
        <w:t xml:space="preserve">Šiaulių rajono turizmo ir verslo informacijos centrą atvyksta iš Azijos šalių, 2011 klientai, didžiausia dalis iš Japonijos, 493 klientai (lentelė </w:t>
      </w:r>
      <w:proofErr w:type="spellStart"/>
      <w:r w:rsidRPr="00E54A27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Pr="00E54A27">
        <w:rPr>
          <w:rFonts w:ascii="Times New Roman" w:hAnsi="Times New Roman" w:cs="Times New Roman"/>
          <w:sz w:val="24"/>
          <w:szCs w:val="24"/>
        </w:rPr>
        <w:t xml:space="preserve"> 4).  </w:t>
      </w:r>
    </w:p>
    <w:p w14:paraId="09DAEC3C" w14:textId="736ACE0E" w:rsidR="00856F50" w:rsidRPr="00E54A27" w:rsidRDefault="00856F50" w:rsidP="00E54A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A27">
        <w:rPr>
          <w:rFonts w:ascii="Times New Roman" w:hAnsi="Times New Roman" w:cs="Times New Roman"/>
          <w:b/>
          <w:bCs/>
          <w:sz w:val="24"/>
          <w:szCs w:val="24"/>
        </w:rPr>
        <w:t>Lentelė nr.3</w:t>
      </w:r>
    </w:p>
    <w:p w14:paraId="4BF98DB2" w14:textId="507C7EDF" w:rsidR="00856F50" w:rsidRPr="00E54A27" w:rsidRDefault="00856F50" w:rsidP="00E54A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C0FB8" wp14:editId="03A42D41">
            <wp:extent cx="5810250" cy="2588895"/>
            <wp:effectExtent l="0" t="0" r="0" b="1905"/>
            <wp:docPr id="1647113583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FF2FF07F-2433-339B-6FFA-72F1A6328F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013A13" w14:textId="6A60A2CB" w:rsidR="00856F50" w:rsidRPr="00E54A27" w:rsidRDefault="00856F50" w:rsidP="00E54A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69CE72" w14:textId="422DE701" w:rsidR="00856F50" w:rsidRPr="00E54A27" w:rsidRDefault="00856F50" w:rsidP="00E54A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Lentelė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nr.4 </w:t>
      </w:r>
    </w:p>
    <w:p w14:paraId="10C1ABCA" w14:textId="0B7FE3A4" w:rsidR="00856F50" w:rsidRPr="00E54A27" w:rsidRDefault="00D22D93" w:rsidP="00E54A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4CCA58" wp14:editId="6534CCA6">
            <wp:extent cx="5810250" cy="3002280"/>
            <wp:effectExtent l="0" t="0" r="0" b="7620"/>
            <wp:docPr id="1928237382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6F75B7FB-3810-1B8A-FA7D-2D8C3468DA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469F50" w14:textId="5F3396E8" w:rsidR="00137DB5" w:rsidRPr="00E54A27" w:rsidRDefault="00137DB5" w:rsidP="00E54A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189481" w14:textId="6BE94454" w:rsidR="00137DB5" w:rsidRPr="00E54A27" w:rsidRDefault="003623F4" w:rsidP="00E54A27">
      <w:pPr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54A2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Lyginant 2022-2023-2024 metų I-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shd w:val="clear" w:color="auto" w:fill="F7F7F7"/>
        </w:rPr>
        <w:t>ojo</w:t>
      </w:r>
      <w:proofErr w:type="spellEnd"/>
      <w:r w:rsidRPr="00E54A2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ketvirčio duomenimis ( lentelė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shd w:val="clear" w:color="auto" w:fill="F7F7F7"/>
        </w:rPr>
        <w:t>nr.</w:t>
      </w:r>
      <w:proofErr w:type="spellEnd"/>
      <w:r w:rsidRPr="00E54A2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5), turistų skaičius Šiaulių rajono turizmo ir verslo informacijos centre yra labai padidėjęs, tai reiškia, kad </w:t>
      </w:r>
      <w:r w:rsidRPr="00E54A27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7F7F7"/>
        </w:rPr>
        <w:t>Šiaulių rajonas</w:t>
      </w:r>
      <w:r w:rsidRPr="00E54A27">
        <w:rPr>
          <w:rFonts w:ascii="Times New Roman" w:hAnsi="Times New Roman" w:cs="Times New Roman"/>
          <w:sz w:val="24"/>
          <w:szCs w:val="24"/>
          <w:shd w:val="clear" w:color="auto" w:fill="F7F7F7"/>
        </w:rPr>
        <w:t> tampa vis populiaresne turistų vieta, o šie skaičiai yra puikus ženklas šalies turizmo sektoriui.</w:t>
      </w:r>
    </w:p>
    <w:p w14:paraId="6072852D" w14:textId="77777777" w:rsidR="00E54A27" w:rsidRDefault="00E54A27" w:rsidP="00E54A2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7F7F7"/>
        </w:rPr>
      </w:pPr>
    </w:p>
    <w:p w14:paraId="0BC1413D" w14:textId="77777777" w:rsidR="000D0B87" w:rsidRDefault="000D0B87" w:rsidP="00E54A27">
      <w:pPr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7F7F7"/>
        </w:rPr>
      </w:pPr>
    </w:p>
    <w:p w14:paraId="18B9EBBD" w14:textId="2F958249" w:rsidR="000D0B87" w:rsidRPr="000D0B87" w:rsidRDefault="00C834A6" w:rsidP="00E54A27">
      <w:pPr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7F7F7"/>
        </w:rPr>
      </w:pPr>
      <w:r w:rsidRPr="00E54A2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7F7F7"/>
        </w:rPr>
        <w:lastRenderedPageBreak/>
        <w:t xml:space="preserve">Lentelė </w:t>
      </w:r>
      <w:proofErr w:type="spellStart"/>
      <w:r w:rsidRPr="00E54A2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7F7F7"/>
        </w:rPr>
        <w:t>nr.</w:t>
      </w:r>
      <w:proofErr w:type="spellEnd"/>
      <w:r w:rsidRPr="00E54A2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7F7F7"/>
        </w:rPr>
        <w:t xml:space="preserve"> 5</w:t>
      </w:r>
    </w:p>
    <w:p w14:paraId="6A979F9E" w14:textId="362283E9" w:rsidR="003623F4" w:rsidRPr="00E54A27" w:rsidRDefault="00137DB5" w:rsidP="00E54A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D6660D" wp14:editId="5EA685B2">
            <wp:extent cx="5734050" cy="2962275"/>
            <wp:effectExtent l="0" t="0" r="0" b="9525"/>
            <wp:docPr id="630916312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779D8B2D-2D3C-B227-6ACE-D498AA5459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83F42B" w14:textId="77777777" w:rsidR="00872E79" w:rsidRPr="00E54A27" w:rsidRDefault="00872E79" w:rsidP="00E54A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46A775" w14:textId="57F218DF" w:rsidR="00872E79" w:rsidRPr="00E54A27" w:rsidRDefault="00872E79" w:rsidP="00E54A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Šiaulių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rajono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turizmo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verslo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informacijos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centro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padidėjęs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turistų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srautas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gali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būti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paaiškintas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keliais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veiksniais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817F19" w14:textId="6816BDBE" w:rsidR="00872E79" w:rsidRPr="00E54A27" w:rsidRDefault="00872E79" w:rsidP="00E54A2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Reklama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informavimas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Centro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pastangomis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efektyviai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reklamuoja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Šiaulių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rajoną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jo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turistinius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objektus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taip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pat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keičia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išsamią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informaciją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apie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lankytinas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vietas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maršrutus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paslaugas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. Tai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apima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internetinį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turinį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socialinius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tinklus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spaudą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renginius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kitus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kanalus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D6F26A" w14:textId="362E5711" w:rsidR="00872E79" w:rsidRPr="00E54A27" w:rsidRDefault="00872E79" w:rsidP="00E54A2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Kultūriniai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renginiai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festivaliai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Įvairūs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kultūriniai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renginiai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šventės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festivaliai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vykstantys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Šiaulių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rajone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pritraukia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turistus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49DDE8" w14:textId="71E73631" w:rsidR="00872E79" w:rsidRPr="00E54A27" w:rsidRDefault="00872E79" w:rsidP="00E54A2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Regioninės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atrakcijos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Šiaulių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rajone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yra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daugybė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gamtos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grožio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vietų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istorinių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paminklų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unikalių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objektų</w:t>
      </w:r>
      <w:proofErr w:type="spellEnd"/>
      <w:r w:rsidR="00E54A27" w:rsidRPr="00E54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A94463" w14:textId="7F0F5BEB" w:rsidR="00E54A27" w:rsidRPr="00E54A27" w:rsidRDefault="00E54A27" w:rsidP="00E54A2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Aktyvus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bendruomenės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dalyvavimas</w:t>
      </w:r>
      <w:proofErr w:type="spellEnd"/>
      <w:r w:rsidRPr="00E54A2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Vietos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gyventojų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verslo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bendruomenės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aktyvumas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organizuojant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renginius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kūrybines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dirbtuves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kitas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veiklas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prisideda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prie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turistų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srauto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augimo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454FD2" w14:textId="126C5D03" w:rsidR="00E54A27" w:rsidRPr="00E54A27" w:rsidRDefault="00E54A27" w:rsidP="00E54A2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Visi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šie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veiksniai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sudaro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palankias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sąlygas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turizmo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sektoriui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Šiaulių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rajone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padeda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išlaikyti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augantį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turistų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A27">
        <w:rPr>
          <w:rFonts w:ascii="Times New Roman" w:hAnsi="Times New Roman" w:cs="Times New Roman"/>
          <w:sz w:val="24"/>
          <w:szCs w:val="24"/>
          <w:lang w:val="en-US"/>
        </w:rPr>
        <w:t>srautą</w:t>
      </w:r>
      <w:proofErr w:type="spellEnd"/>
      <w:r w:rsidRPr="00E54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E54A27" w:rsidRPr="00E54A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A2BCF" w14:textId="77777777" w:rsidR="002F445D" w:rsidRDefault="002F445D" w:rsidP="00C834A6">
      <w:pPr>
        <w:spacing w:after="0" w:line="240" w:lineRule="auto"/>
      </w:pPr>
      <w:r>
        <w:separator/>
      </w:r>
    </w:p>
  </w:endnote>
  <w:endnote w:type="continuationSeparator" w:id="0">
    <w:p w14:paraId="063124CE" w14:textId="77777777" w:rsidR="002F445D" w:rsidRDefault="002F445D" w:rsidP="00C8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1C9D" w14:textId="77777777" w:rsidR="002F445D" w:rsidRDefault="002F445D" w:rsidP="00C834A6">
      <w:pPr>
        <w:spacing w:after="0" w:line="240" w:lineRule="auto"/>
      </w:pPr>
      <w:r>
        <w:separator/>
      </w:r>
    </w:p>
  </w:footnote>
  <w:footnote w:type="continuationSeparator" w:id="0">
    <w:p w14:paraId="00BA8ABF" w14:textId="77777777" w:rsidR="002F445D" w:rsidRDefault="002F445D" w:rsidP="00C8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BFA"/>
    <w:multiLevelType w:val="hybridMultilevel"/>
    <w:tmpl w:val="4AF63F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A1AD0"/>
    <w:multiLevelType w:val="multilevel"/>
    <w:tmpl w:val="96E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223919">
    <w:abstractNumId w:val="1"/>
  </w:num>
  <w:num w:numId="2" w16cid:durableId="12447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B"/>
    <w:rsid w:val="000D0B87"/>
    <w:rsid w:val="0010011E"/>
    <w:rsid w:val="00137DB5"/>
    <w:rsid w:val="00190D66"/>
    <w:rsid w:val="002141D3"/>
    <w:rsid w:val="00215E4F"/>
    <w:rsid w:val="0029584E"/>
    <w:rsid w:val="002B59BC"/>
    <w:rsid w:val="002F445D"/>
    <w:rsid w:val="003623F4"/>
    <w:rsid w:val="0045343B"/>
    <w:rsid w:val="0060437B"/>
    <w:rsid w:val="00622D54"/>
    <w:rsid w:val="006404C1"/>
    <w:rsid w:val="00737B7C"/>
    <w:rsid w:val="00755488"/>
    <w:rsid w:val="00856F50"/>
    <w:rsid w:val="008674A8"/>
    <w:rsid w:val="00872E79"/>
    <w:rsid w:val="009670A6"/>
    <w:rsid w:val="009B4608"/>
    <w:rsid w:val="009D7621"/>
    <w:rsid w:val="00AA2A41"/>
    <w:rsid w:val="00C834A6"/>
    <w:rsid w:val="00D22D93"/>
    <w:rsid w:val="00E54A27"/>
    <w:rsid w:val="00F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A22B"/>
  <w15:chartTrackingRefBased/>
  <w15:docId w15:val="{F33A111C-42B4-4400-93E8-BBBAA3AC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3623F4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3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3623F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83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34A6"/>
  </w:style>
  <w:style w:type="paragraph" w:styleId="Porat">
    <w:name w:val="footer"/>
    <w:basedOn w:val="prastasis"/>
    <w:link w:val="PoratDiagrama"/>
    <w:uiPriority w:val="99"/>
    <w:unhideWhenUsed/>
    <w:rsid w:val="00C83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8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no\Desktop\IEVA%20DAKNYT&#278;\6.%20Turist&#371;%20statistika\VISA%202024%20turistu%20statistika%20SAUSIS-GRUODIS%20(1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no\Desktop\IEVA%20DAKNYT&#278;\6.%20Turist&#371;%20statistika\VISA%202024%20turistu%20statistika%20SAUSIS-GRUODIS%20(1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no\Desktop\IEVA%20DAKNYT&#278;\6.%20Turist&#371;%20statistika\VISA%202024%20turistu%20statistika%20SAUSIS-GRUODIS%20(1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no\Desktop\IEVA%20DAKNYT&#278;\6.%20Turist&#371;%20statistika\VISA%202024%20turistu%20statistika%20SAUSIS-GRUODIS%20(1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no\Desktop\IEVA%20DAKNYT&#278;\6.%20Turist&#371;%20statistika\VISA%202024%20turistu%20statistika%20SAUSIS-GRUODIS%20(1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Lietuvos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ir užsienio klientų skaičius per 2024 metų  I-ąjį ketvirtį</a:t>
            </a:r>
            <a:endParaRPr lang="lt-LT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DA0-4B81-AE00-8C22F64E23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DA0-4B81-AE00-8C22F64E2357}"/>
              </c:ext>
            </c:extLst>
          </c:dPt>
          <c:dLbls>
            <c:dLbl>
              <c:idx val="0"/>
              <c:layout>
                <c:manualLayout>
                  <c:x val="-7.8947871582277465E-2"/>
                  <c:y val="2.929380825681524E-2"/>
                </c:manualLayout>
              </c:layout>
              <c:tx>
                <c:rich>
                  <a:bodyPr/>
                  <a:lstStyle/>
                  <a:p>
                    <a:fld id="{AFF5B8AF-655E-4771-834D-143AE6EE3B09}" type="VALUE">
                      <a:rPr lang="en-US" sz="1100" b="1">
                        <a:solidFill>
                          <a:sysClr val="windowText" lastClr="000000"/>
                        </a:solidFill>
                      </a:rPr>
                      <a:pPr/>
                      <a:t>[REIKŠMĖ]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DA0-4B81-AE00-8C22F64E2357}"/>
                </c:ext>
              </c:extLst>
            </c:dLbl>
            <c:dLbl>
              <c:idx val="1"/>
              <c:layout>
                <c:manualLayout>
                  <c:x val="8.6715509899010973E-2"/>
                  <c:y val="-0.12885717758693543"/>
                </c:manualLayout>
              </c:layout>
              <c:tx>
                <c:rich>
                  <a:bodyPr/>
                  <a:lstStyle/>
                  <a:p>
                    <a:fld id="{8B852D01-0C26-4132-A461-97CE0D22667F}" type="VALUE">
                      <a:rPr lang="en-US" sz="1100" b="1">
                        <a:solidFill>
                          <a:sysClr val="windowText" lastClr="000000"/>
                        </a:solidFill>
                      </a:rPr>
                      <a:pPr/>
                      <a:t>[REIKŠMĖ]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DA0-4B81-AE00-8C22F64E23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('1 ketvirtis'!$A$6,'1 ketvirtis'!$A$7)</c:f>
              <c:strCache>
                <c:ptCount val="2"/>
                <c:pt idx="0">
                  <c:v>Lietuva</c:v>
                </c:pt>
                <c:pt idx="1">
                  <c:v>Užsienio valstybės</c:v>
                </c:pt>
              </c:strCache>
            </c:strRef>
          </c:cat>
          <c:val>
            <c:numRef>
              <c:f>('1 ketvirtis'!$C$6,'1 ketvirtis'!$C$7)</c:f>
              <c:numCache>
                <c:formatCode>0</c:formatCode>
                <c:ptCount val="2"/>
                <c:pt idx="0">
                  <c:v>5750</c:v>
                </c:pt>
                <c:pt idx="1">
                  <c:v>9318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A0-4B81-AE00-8C22F64E2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legendEntry>
      <c:layout>
        <c:manualLayout>
          <c:xMode val="edge"/>
          <c:yMode val="edge"/>
          <c:x val="0.30589846634238721"/>
          <c:y val="0.91012808240256948"/>
          <c:w val="0.4706312335958005"/>
          <c:h val="8.93318022747156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2024 metų I-ojo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ketvirčio l</a:t>
            </a: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ankytojų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skaičius</a:t>
            </a: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pagal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jų geografinę padėtį</a:t>
            </a:r>
            <a:endParaRPr lang="lt-LT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431026737694636"/>
          <c:y val="1.63024789305000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316505680141451E-2"/>
          <c:y val="0.19449536021112113"/>
          <c:w val="0.89870019817727298"/>
          <c:h val="0.5707712765412520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795399420338249E-3"/>
                  <c:y val="-0.318588045346790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47-4217-BCE2-1452D0381753}"/>
                </c:ext>
              </c:extLst>
            </c:dLbl>
            <c:dLbl>
              <c:idx val="1"/>
              <c:layout>
                <c:manualLayout>
                  <c:x val="8.8637307826726214E-3"/>
                  <c:y val="-4.3386102677114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47-4217-BCE2-1452D0381753}"/>
                </c:ext>
              </c:extLst>
            </c:dLbl>
            <c:dLbl>
              <c:idx val="2"/>
              <c:layout>
                <c:manualLayout>
                  <c:x val="6.6477980870044565E-3"/>
                  <c:y val="-4.6723495190738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47-4217-BCE2-1452D0381753}"/>
                </c:ext>
              </c:extLst>
            </c:dLbl>
            <c:dLbl>
              <c:idx val="3"/>
              <c:layout>
                <c:manualLayout>
                  <c:x val="6.6477980870044973E-3"/>
                  <c:y val="-8.6772205354228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47-4217-BCE2-1452D0381753}"/>
                </c:ext>
              </c:extLst>
            </c:dLbl>
            <c:dLbl>
              <c:idx val="4"/>
              <c:layout>
                <c:manualLayout>
                  <c:x val="4.4318653913363315E-3"/>
                  <c:y val="-0.1301583080313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47-4217-BCE2-1452D0381753}"/>
                </c:ext>
              </c:extLst>
            </c:dLbl>
            <c:dLbl>
              <c:idx val="5"/>
              <c:layout>
                <c:manualLayout>
                  <c:x val="6.6477980870044973E-3"/>
                  <c:y val="-0.13349570054496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47-4217-BCE2-1452D0381753}"/>
                </c:ext>
              </c:extLst>
            </c:dLbl>
            <c:dLbl>
              <c:idx val="6"/>
              <c:layout>
                <c:manualLayout>
                  <c:x val="4.4318653913363315E-3"/>
                  <c:y val="-9.3446990381477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47-4217-BCE2-1452D0381753}"/>
                </c:ext>
              </c:extLst>
            </c:dLbl>
            <c:dLbl>
              <c:idx val="7"/>
              <c:layout>
                <c:manualLayout>
                  <c:x val="6.6477980870044973E-3"/>
                  <c:y val="-7.008524278610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47-4217-BCE2-1452D0381753}"/>
                </c:ext>
              </c:extLst>
            </c:dLbl>
            <c:dLbl>
              <c:idx val="8"/>
              <c:layout>
                <c:manualLayout>
                  <c:x val="6.6477980870043342E-3"/>
                  <c:y val="-0.123483523004094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347-4217-BCE2-1452D03817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('1 ketvirtis'!$A$6,'1 ketvirtis'!$A$10,'1 ketvirtis'!$A$11,'1 ketvirtis'!$A$12,'1 ketvirtis'!$A$16,'1 ketvirtis'!$A$22,'1 ketvirtis'!$A$34,'1 ketvirtis'!$A$40,'1 ketvirtis'!$A$49)</c:f>
              <c:strCache>
                <c:ptCount val="9"/>
                <c:pt idx="0">
                  <c:v>Lietuva</c:v>
                </c:pt>
                <c:pt idx="1">
                  <c:v>Australija ir Okeanija</c:v>
                </c:pt>
                <c:pt idx="2">
                  <c:v>Pietų ir Vidurio Amerika</c:v>
                </c:pt>
                <c:pt idx="3">
                  <c:v>Šiaurės Amerika</c:v>
                </c:pt>
                <c:pt idx="4">
                  <c:v>Azija</c:v>
                </c:pt>
                <c:pt idx="5">
                  <c:v>Vidurio ir Rytų Europa</c:v>
                </c:pt>
                <c:pt idx="6">
                  <c:v>Pietų Europa</c:v>
                </c:pt>
                <c:pt idx="7">
                  <c:v>Šiaurės Europa</c:v>
                </c:pt>
                <c:pt idx="8">
                  <c:v>Vakarų Europa</c:v>
                </c:pt>
              </c:strCache>
            </c:strRef>
          </c:cat>
          <c:val>
            <c:numRef>
              <c:f>('1 ketvirtis'!$C$6,'1 ketvirtis'!$C$10,'1 ketvirtis'!$C$11,'1 ketvirtis'!$C$12,'1 ketvirtis'!$C$16,'1 ketvirtis'!$C$22,'1 ketvirtis'!$C$34,'1 ketvirtis'!$C$40,'1 ketvirtis'!$C$49)</c:f>
              <c:numCache>
                <c:formatCode>0</c:formatCode>
                <c:ptCount val="9"/>
                <c:pt idx="0">
                  <c:v>5750</c:v>
                </c:pt>
                <c:pt idx="1">
                  <c:v>43</c:v>
                </c:pt>
                <c:pt idx="2">
                  <c:v>110</c:v>
                </c:pt>
                <c:pt idx="3">
                  <c:v>1109</c:v>
                </c:pt>
                <c:pt idx="4">
                  <c:v>2011</c:v>
                </c:pt>
                <c:pt idx="5">
                  <c:v>2175</c:v>
                </c:pt>
                <c:pt idx="6">
                  <c:v>1249</c:v>
                </c:pt>
                <c:pt idx="7">
                  <c:v>767</c:v>
                </c:pt>
                <c:pt idx="8">
                  <c:v>1854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347-4217-BCE2-1452D03817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7042672"/>
        <c:axId val="797040752"/>
        <c:axId val="0"/>
      </c:bar3DChart>
      <c:catAx>
        <c:axId val="79704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797040752"/>
        <c:crosses val="autoZero"/>
        <c:auto val="1"/>
        <c:lblAlgn val="ctr"/>
        <c:lblOffset val="100"/>
        <c:noMultiLvlLbl val="0"/>
      </c:catAx>
      <c:valAx>
        <c:axId val="79704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79704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Vidurio ir rytų Europos lankytojai, pagal valstybę</a:t>
            </a:r>
            <a:endParaRPr lang="lt-LT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607971300884687"/>
          <c:y val="3.541901012373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93694885913491E-2"/>
          <c:y val="0.27406655844155847"/>
          <c:w val="0.8998656964381837"/>
          <c:h val="0.60749469526536459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6754760513455533E-3"/>
                  <c:y val="-0.115498925845472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14-4FA2-B2BF-F33DCC51D3A0}"/>
                </c:ext>
              </c:extLst>
            </c:dLbl>
            <c:dLbl>
              <c:idx val="1"/>
              <c:layout>
                <c:manualLayout>
                  <c:x val="1.3008126084181218E-2"/>
                  <c:y val="-5.7017543859649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14-4FA2-B2BF-F33DCC51D3A0}"/>
                </c:ext>
              </c:extLst>
            </c:dLbl>
            <c:dLbl>
              <c:idx val="2"/>
              <c:layout>
                <c:manualLayout>
                  <c:x val="5.8641119780536181E-3"/>
                  <c:y val="-0.368940459147152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14-4FA2-B2BF-F33DCC51D3A0}"/>
                </c:ext>
              </c:extLst>
            </c:dLbl>
            <c:dLbl>
              <c:idx val="3"/>
              <c:layout>
                <c:manualLayout>
                  <c:x val="7.8049532982164428E-3"/>
                  <c:y val="-0.26550100620605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14-4FA2-B2BF-F33DCC51D3A0}"/>
                </c:ext>
              </c:extLst>
            </c:dLbl>
            <c:dLbl>
              <c:idx val="4"/>
              <c:layout>
                <c:manualLayout>
                  <c:x val="7.8048756505087304E-3"/>
                  <c:y val="-5.701754385964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14-4FA2-B2BF-F33DCC51D3A0}"/>
                </c:ext>
              </c:extLst>
            </c:dLbl>
            <c:dLbl>
              <c:idx val="5"/>
              <c:layout>
                <c:manualLayout>
                  <c:x val="7.804875650508635E-3"/>
                  <c:y val="-5.2631578947368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14-4FA2-B2BF-F33DCC51D3A0}"/>
                </c:ext>
              </c:extLst>
            </c:dLbl>
            <c:dLbl>
              <c:idx val="6"/>
              <c:layout>
                <c:manualLayout>
                  <c:x val="5.2032504336722964E-3"/>
                  <c:y val="-4.82456140350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D14-4FA2-B2BF-F33DCC51D3A0}"/>
                </c:ext>
              </c:extLst>
            </c:dLbl>
            <c:dLbl>
              <c:idx val="7"/>
              <c:layout>
                <c:manualLayout>
                  <c:x val="5.2033021988110136E-3"/>
                  <c:y val="-0.114330032594311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D14-4FA2-B2BF-F33DCC51D3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('1 ketvirtis'!$A$24,'1 ketvirtis'!$A$25,'1 ketvirtis'!$A$26,'1 ketvirtis'!$A$27,'1 ketvirtis'!$A$28,'1 ketvirtis'!$A$29,'1 ketvirtis'!$A$30,'1 ketvirtis'!$A$33)</c:f>
              <c:strCache>
                <c:ptCount val="8"/>
                <c:pt idx="0">
                  <c:v>Čekija</c:v>
                </c:pt>
                <c:pt idx="1">
                  <c:v>Estija</c:v>
                </c:pt>
                <c:pt idx="2">
                  <c:v>Latvija</c:v>
                </c:pt>
                <c:pt idx="3">
                  <c:v>Lenkija</c:v>
                </c:pt>
                <c:pt idx="4">
                  <c:v>Rumunija</c:v>
                </c:pt>
                <c:pt idx="5">
                  <c:v>Slovakija</c:v>
                </c:pt>
                <c:pt idx="6">
                  <c:v>Vengrija</c:v>
                </c:pt>
                <c:pt idx="7">
                  <c:v>kitos NVS š.</c:v>
                </c:pt>
              </c:strCache>
            </c:strRef>
          </c:cat>
          <c:val>
            <c:numRef>
              <c:f>('1 ketvirtis'!$C$24,'1 ketvirtis'!$C$25,'1 ketvirtis'!$C$26,'1 ketvirtis'!$C$27,'1 ketvirtis'!$C$28,'1 ketvirtis'!$C$29,'1 ketvirtis'!$C$30,'1 ketvirtis'!$C$33)</c:f>
              <c:numCache>
                <c:formatCode>0</c:formatCode>
                <c:ptCount val="8"/>
                <c:pt idx="0">
                  <c:v>195</c:v>
                </c:pt>
                <c:pt idx="1">
                  <c:v>21</c:v>
                </c:pt>
                <c:pt idx="2">
                  <c:v>1005</c:v>
                </c:pt>
                <c:pt idx="3">
                  <c:v>727</c:v>
                </c:pt>
                <c:pt idx="4">
                  <c:v>6</c:v>
                </c:pt>
                <c:pt idx="5">
                  <c:v>23</c:v>
                </c:pt>
                <c:pt idx="6">
                  <c:v>2</c:v>
                </c:pt>
                <c:pt idx="7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14-4FA2-B2BF-F33DCC51D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8005376"/>
        <c:axId val="806703392"/>
        <c:axId val="0"/>
      </c:bar3DChart>
      <c:catAx>
        <c:axId val="93800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806703392"/>
        <c:crosses val="autoZero"/>
        <c:auto val="1"/>
        <c:lblAlgn val="ctr"/>
        <c:lblOffset val="100"/>
        <c:noMultiLvlLbl val="0"/>
      </c:catAx>
      <c:valAx>
        <c:axId val="80670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93800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Azijos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šalių lankytojai</a:t>
            </a:r>
            <a:endParaRPr lang="lt-LT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0761005011391163"/>
          <c:y val="2.53807106598984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AC-40DA-8C6D-B0A1319B7F03}"/>
                </c:ext>
              </c:extLst>
            </c:dLbl>
            <c:dLbl>
              <c:idx val="1"/>
              <c:layout>
                <c:manualLayout>
                  <c:x val="1.3888888888888888E-2"/>
                  <c:y val="-0.199074074074074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AC-40DA-8C6D-B0A1319B7F03}"/>
                </c:ext>
              </c:extLst>
            </c:dLbl>
            <c:dLbl>
              <c:idx val="2"/>
              <c:layout>
                <c:manualLayout>
                  <c:x val="8.3333333333333332E-3"/>
                  <c:y val="-0.199074074074074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AC-40DA-8C6D-B0A1319B7F03}"/>
                </c:ext>
              </c:extLst>
            </c:dLbl>
            <c:dLbl>
              <c:idx val="3"/>
              <c:layout>
                <c:manualLayout>
                  <c:x val="8.3333333333333332E-3"/>
                  <c:y val="-7.870370370370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AC-40DA-8C6D-B0A1319B7F03}"/>
                </c:ext>
              </c:extLst>
            </c:dLbl>
            <c:dLbl>
              <c:idx val="4"/>
              <c:layout>
                <c:manualLayout>
                  <c:x val="1.6666752721483585E-2"/>
                  <c:y val="-0.354084562399243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AC-40DA-8C6D-B0A1319B7F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('1 ketvirtis'!$A$17,'1 ketvirtis'!$A$18,'1 ketvirtis'!$A$19,'1 ketvirtis'!$A$20,'1 ketvirtis'!$A$21)</c:f>
              <c:strCache>
                <c:ptCount val="5"/>
                <c:pt idx="0">
                  <c:v>Izraelis</c:v>
                </c:pt>
                <c:pt idx="1">
                  <c:v>Japonija</c:v>
                </c:pt>
                <c:pt idx="2">
                  <c:v>Kinija</c:v>
                </c:pt>
                <c:pt idx="3">
                  <c:v>Turkija</c:v>
                </c:pt>
                <c:pt idx="4">
                  <c:v>Kitos Azijos š.</c:v>
                </c:pt>
              </c:strCache>
            </c:strRef>
          </c:cat>
          <c:val>
            <c:numRef>
              <c:f>('1 ketvirtis'!$C$17,'1 ketvirtis'!$C$18,'1 ketvirtis'!$C$19,'1 ketvirtis'!$C$20,'1 ketvirtis'!$C$21)</c:f>
              <c:numCache>
                <c:formatCode>0</c:formatCode>
                <c:ptCount val="5"/>
                <c:pt idx="0">
                  <c:v>0</c:v>
                </c:pt>
                <c:pt idx="1">
                  <c:v>493</c:v>
                </c:pt>
                <c:pt idx="2">
                  <c:v>488</c:v>
                </c:pt>
                <c:pt idx="3">
                  <c:v>0</c:v>
                </c:pt>
                <c:pt idx="4">
                  <c:v>1030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AC-40DA-8C6D-B0A1319B7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2036208"/>
        <c:axId val="802035728"/>
        <c:axId val="0"/>
      </c:bar3DChart>
      <c:catAx>
        <c:axId val="80203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802035728"/>
        <c:crosses val="autoZero"/>
        <c:auto val="1"/>
        <c:lblAlgn val="ctr"/>
        <c:lblOffset val="100"/>
        <c:noMultiLvlLbl val="0"/>
      </c:catAx>
      <c:valAx>
        <c:axId val="80203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802036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2022-2023-2024 metų </a:t>
            </a:r>
            <a:r>
              <a:rPr lang="lt-LT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turistų kiekis per I- ąjį ketvirtį</a:t>
            </a:r>
            <a:endParaRPr lang="lt-LT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167349695323173"/>
          <c:y val="3.6352128009722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>
        <c:manualLayout>
          <c:layoutTarget val="inner"/>
          <c:xMode val="edge"/>
          <c:yMode val="edge"/>
          <c:x val="0.11013648293963255"/>
          <c:y val="0.15476851851851853"/>
          <c:w val="0.86486351706036746"/>
          <c:h val="0.7378320939049285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777777777777776E-2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FB-4618-A737-F8DC6350BE01}"/>
                </c:ext>
              </c:extLst>
            </c:dLbl>
            <c:dLbl>
              <c:idx val="1"/>
              <c:layout>
                <c:manualLayout>
                  <c:x val="-6.6666666666666666E-2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FB-4618-A737-F8DC6350BE01}"/>
                </c:ext>
              </c:extLst>
            </c:dLbl>
            <c:dLbl>
              <c:idx val="2"/>
              <c:layout>
                <c:manualLayout>
                  <c:x val="1.9444444444444445E-2"/>
                  <c:y val="-2.314814814814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FB-4618-A737-F8DC6350BE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('1 ketvirtis'!$E$11,'1 ketvirtis'!$E$14,'1 ketvirtis'!$E$18)</c:f>
              <c:strCache>
                <c:ptCount val="3"/>
                <c:pt idx="0">
                  <c:v>2022 metai</c:v>
                </c:pt>
                <c:pt idx="1">
                  <c:v>2023 metai</c:v>
                </c:pt>
                <c:pt idx="2">
                  <c:v>2024 metai</c:v>
                </c:pt>
              </c:strCache>
            </c:strRef>
          </c:cat>
          <c:val>
            <c:numRef>
              <c:f>('1 ketvirtis'!$G$11,'1 ketvirtis'!$G$14,'1 ketvirtis'!$G$18)</c:f>
              <c:numCache>
                <c:formatCode>0</c:formatCode>
                <c:ptCount val="3"/>
                <c:pt idx="0">
                  <c:v>3262</c:v>
                </c:pt>
                <c:pt idx="1">
                  <c:v>3963</c:v>
                </c:pt>
                <c:pt idx="2">
                  <c:v>15068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FB-4618-A737-F8DC6350B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8172351"/>
        <c:axId val="1728174751"/>
      </c:lineChart>
      <c:catAx>
        <c:axId val="1728172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28174751"/>
        <c:crosses val="autoZero"/>
        <c:auto val="1"/>
        <c:lblAlgn val="ctr"/>
        <c:lblOffset val="100"/>
        <c:noMultiLvlLbl val="0"/>
      </c:catAx>
      <c:valAx>
        <c:axId val="1728174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281723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2:00:31.546"/>
    </inkml:context>
    <inkml:brush xml:id="br0">
      <inkml:brushProperty name="width" value="0.025" units="cm"/>
      <inkml:brushProperty name="height" value="0.15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7 1,'-6'6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2:00:30.646"/>
    </inkml:context>
    <inkml:brush xml:id="br0">
      <inkml:brushProperty name="width" value="0.025" units="cm"/>
      <inkml:brushProperty name="height" value="0.15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TVIC Siuliurajonas</dc:creator>
  <cp:keywords/>
  <dc:description/>
  <cp:lastModifiedBy>TVIC Siuliurajonas</cp:lastModifiedBy>
  <cp:revision>7</cp:revision>
  <cp:lastPrinted>2024-04-04T13:19:00Z</cp:lastPrinted>
  <dcterms:created xsi:type="dcterms:W3CDTF">2024-04-04T09:45:00Z</dcterms:created>
  <dcterms:modified xsi:type="dcterms:W3CDTF">2024-04-04T13:33:00Z</dcterms:modified>
</cp:coreProperties>
</file>